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bookmarkStart w:id="0" w:name="_GoBack"/>
      <w:bookmarkEnd w:id="0"/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del  Estado  Dominicano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domicilio  y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 PARTES</w:t>
      </w: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6D2E61">
          <w:rPr>
            <w:rFonts w:ascii="Arial Narrow" w:hAnsi="Arial Narrow" w:cs="Arial"/>
          </w:rPr>
          <w:t>la Licitación  Pública Nacional.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:rsidR="003B0454" w:rsidRPr="00092C78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</w:rPr>
          <w:t>la referida Ley</w:t>
        </w:r>
      </w:smartTag>
      <w:r w:rsidRPr="006D2E61">
        <w:rPr>
          <w:rFonts w:ascii="Arial Narrow" w:hAnsi="Arial Narrow" w:cs="Arial"/>
        </w:rPr>
        <w:t xml:space="preserve">, en su Artículo 16, numeral 1,  establece además que: </w:t>
      </w:r>
      <w:r w:rsidRPr="00092C78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correspondientes.”.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  <w:bCs/>
          </w:rPr>
          <w:t>la referida Ley</w:t>
        </w:r>
      </w:smartTag>
      <w:r w:rsidRPr="006D2E61">
        <w:rPr>
          <w:rFonts w:ascii="Arial Narrow" w:hAnsi="Arial Narrow" w:cs="Arial"/>
          <w:bCs/>
        </w:rPr>
        <w:t xml:space="preserve">, establece la tabla contentiva de los factores  mediante la cual se </w:t>
      </w:r>
      <w:r w:rsidRPr="006D2E61">
        <w:rPr>
          <w:rFonts w:ascii="Arial Narrow" w:hAnsi="Arial Narrow" w:cs="Arial"/>
        </w:rPr>
        <w:t xml:space="preserve"> determina los umbrales topes que sirven de base para la selección del Procedimiento a aplicar en un proceso de compra o contratación.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  <w:color w:val="800000"/>
        </w:rPr>
        <w:t>[Incluir la Resolución contentiva de los umbrale</w:t>
      </w:r>
      <w:r>
        <w:rPr>
          <w:rFonts w:ascii="Arial Narrow" w:hAnsi="Arial Narrow" w:cs="Arial"/>
          <w:b/>
          <w:color w:val="800000"/>
        </w:rPr>
        <w:t>s</w:t>
      </w:r>
      <w:r w:rsidRPr="006D2E61">
        <w:rPr>
          <w:rFonts w:ascii="Arial Narrow" w:hAnsi="Arial Narrow" w:cs="Arial"/>
          <w:b/>
          <w:color w:val="800000"/>
        </w:rPr>
        <w:t>]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Los días ______ (………..) y ______ (………) del mes de _______ del [……..] </w:t>
      </w:r>
      <w:r w:rsidRPr="006D2E61">
        <w:rPr>
          <w:rFonts w:ascii="Arial Narrow" w:hAnsi="Arial Narrow" w:cs="Arial"/>
          <w:b/>
          <w:color w:val="800000"/>
        </w:rPr>
        <w:t>[Entidad Contratante]</w:t>
      </w:r>
      <w:r w:rsidRPr="006D2E61">
        <w:rPr>
          <w:rFonts w:ascii="Arial Narrow" w:hAnsi="Arial Narrow" w:cs="Arial"/>
        </w:rPr>
        <w:t xml:space="preserve"> convocó a </w:t>
      </w:r>
      <w:r w:rsidRPr="006D2E61">
        <w:rPr>
          <w:rFonts w:ascii="Arial Narrow" w:hAnsi="Arial Narrow" w:cs="Arial"/>
          <w:bCs/>
        </w:rPr>
        <w:t>Licitación Pública Nacional,</w:t>
      </w:r>
      <w:r w:rsidRPr="006D2E61">
        <w:rPr>
          <w:rFonts w:ascii="Arial Narrow" w:hAnsi="Arial Narrow" w:cs="Arial"/>
          <w:b/>
          <w:bCs/>
        </w:rPr>
        <w:t xml:space="preserve"> </w:t>
      </w:r>
      <w:r w:rsidRPr="006D2E61">
        <w:rPr>
          <w:rFonts w:ascii="Arial Narrow" w:hAnsi="Arial Narrow" w:cs="Arial"/>
        </w:rPr>
        <w:t xml:space="preserve">para la contratación de </w:t>
      </w:r>
      <w:r w:rsidRPr="00092C78">
        <w:rPr>
          <w:rFonts w:ascii="Arial Narrow" w:hAnsi="Arial Narrow" w:cs="Arial"/>
          <w:b/>
          <w:color w:val="800000"/>
        </w:rPr>
        <w:t>[indicar el servicio]</w:t>
      </w:r>
      <w:r w:rsidRPr="006D2E61">
        <w:rPr>
          <w:rFonts w:ascii="Arial Narrow" w:hAnsi="Arial Narrow" w:cs="Arial"/>
          <w:color w:val="800000"/>
        </w:rPr>
        <w:t>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6D2E61">
          <w:rPr>
            <w:rFonts w:ascii="Arial Narrow" w:hAnsi="Arial Narrow" w:cs="Arial"/>
          </w:rPr>
          <w:t>la referida Licitación.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r w:rsidRPr="006D2E61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_____ (……….) del mes de [………] del ano […….], se procedió a notificar a los Oferentes que habían quedado habilitado para la apertura y lectura de las Propuestas Económicas “Sobre  B”.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[………..],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Contratante </w:t>
      </w:r>
      <w:r w:rsidRPr="006D2E61">
        <w:rPr>
          <w:rFonts w:ascii="Arial Narrow" w:hAnsi="Arial Narrow" w:cs="Arial"/>
          <w:sz w:val="24"/>
          <w:szCs w:val="24"/>
        </w:rPr>
        <w:t xml:space="preserve"> para la coordinación de los servicios.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lastRenderedPageBreak/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4.- monto  del Contrato.</w:t>
      </w:r>
    </w:p>
    <w:p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En el desglose presupuestario que figura como anexo a este Contrato, se presentan las partidas, sub-partidas y el costo general del servicio a realizar.</w:t>
      </w:r>
    </w:p>
    <w:p w:rsidR="003B0454" w:rsidRPr="006D2E61" w:rsidRDefault="003B045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del mismo.</w:t>
      </w:r>
    </w:p>
    <w:p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lastRenderedPageBreak/>
        <w:t>que ella o su personal,  sus empleados y / o representantes intentaren en su contra, derivada del cumplimiento y ejecución del presente Contrato.</w:t>
      </w:r>
    </w:p>
    <w:p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 fuerza mayor Y CASO FORTUITO.</w:t>
      </w:r>
    </w:p>
    <w:p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Caso Fortuito significa aquel acontecimiento que no ha podido preverse, o que previsto no ha podido evitarse, por ser extraño a  la voluntad de  las personas.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dejara de presentar tal reclamación o de dar el aviso requerido dentro del período especificado, se considerará como que ha renunciado a su derecho en relación a la ocurrencia de la Fuerza Mayor o Caso Fortuito.</w:t>
      </w:r>
    </w:p>
    <w:p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lastRenderedPageBreak/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y  por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administración  y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por 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vía  </w:t>
      </w:r>
      <w:r w:rsidR="003B0454" w:rsidRPr="006D2E61">
        <w:rPr>
          <w:rFonts w:ascii="Arial Narrow" w:hAnsi="Arial Narrow" w:cs="Arial"/>
          <w:b/>
        </w:rPr>
        <w:t>El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b/>
        </w:rPr>
        <w:t xml:space="preserve">  vía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lastRenderedPageBreak/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laborará  el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curriculum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El pago a ser recibido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previsto en el Artículo 5 del presente Contrato, constituye la única remuneración con relación al alcance del mismo.  Por tanto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el  desarrollo del objeto de este Contrato, y que se detallan en los Pliegos de Condiciones Específicas, 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los mismos,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aprobará, comentará o rechazará los informes y documentos previstos en el artículo precedente. Si no hay una respuesta por escrito en un plazo de sesenta (60) días, los informes  y documentos se considerarán aprobados.   </w:t>
      </w: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Todos  los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GARANTÍA DE  FIEL CUMPLIMIENTO DE CONTRATO</w:t>
      </w:r>
    </w:p>
    <w:p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 en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>RESPONSABILIDAD DE  SEGUROS</w:t>
      </w:r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 será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>, y su respectivo personal.  A tales efectos deberá presentar para la  suscripción  del presente  Contrato la póliza de responsabilidad civil general correspondiente.</w:t>
      </w:r>
    </w:p>
    <w:p w:rsidR="003B0454" w:rsidRDefault="003B0454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y a 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 técnico acreditado de cualquier documento gubernamental necesario para la realización de los servicios establecidos en este Contrato;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trabajos  que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incumplimiento; y</w:t>
      </w: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DEL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>fuese a la quiebra, o si se extendiese contra él una orden de administración judicial, o si se presentase una petición de declaración en quiebra, o si hiciese algún convenio con sus acreedores o una cesión a favor de ellos.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el  Contrato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Con la rescisión del presente Contrato, conforme lo establecido en el Artículo que antecede,  cesan todos los derechos y obligaciones a excepción de:</w:t>
      </w:r>
    </w:p>
    <w:p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éste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obstante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modificatoria,  originará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división del presente Contrato, con el fin de evadir  las obligaciones de la Ley 340-06 y de las normas complementarias que se dicten en el marco del mismo, será causa de nulidad del mismo</w:t>
      </w: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 se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 DEL CONTRATO.</w:t>
      </w:r>
    </w:p>
    <w:p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IDIOMA OFICIAL.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TITULOS.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LEGISLACIÓN  APLICABLE. </w:t>
      </w:r>
    </w:p>
    <w:p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 la interpretación del mismo y sus documentos anexos, prevalecerá su redacción.  Asimismo se establece que si alguna de las disposiciones de este Contrato se declarara inválida, las demás no serán afectadas y permanecerán plenamente vigentes. </w:t>
      </w:r>
    </w:p>
    <w:p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 </w:t>
      </w:r>
      <w:r w:rsidRPr="006D2E61">
        <w:rPr>
          <w:rFonts w:ascii="Arial Narrow" w:hAnsi="Arial Narrow" w:cs="Arial"/>
          <w:b/>
          <w:sz w:val="24"/>
          <w:szCs w:val="24"/>
        </w:rPr>
        <w:t>de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3B0454" w:rsidRDefault="003B0454" w:rsidP="00E22968">
      <w:pPr>
        <w:ind w:left="5040"/>
        <w:rPr>
          <w:rFonts w:ascii="Arial Narrow" w:hAnsi="Arial Narrow" w:cs="Arial"/>
        </w:rPr>
      </w:pPr>
    </w:p>
    <w:p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:rsidR="003B0454" w:rsidRPr="00227803" w:rsidRDefault="003B0454" w:rsidP="00E22968">
      <w:pPr>
        <w:rPr>
          <w:rFonts w:ascii="Arial Narrow" w:hAnsi="Arial Narrow" w:cs="Arial"/>
        </w:rPr>
      </w:pPr>
    </w:p>
    <w:p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:rsidR="003B0454" w:rsidRDefault="003B0454" w:rsidP="007A2589">
      <w:pPr>
        <w:jc w:val="both"/>
        <w:rPr>
          <w:rFonts w:ascii="Arial Narrow" w:hAnsi="Arial Narrow"/>
        </w:rPr>
      </w:pPr>
    </w:p>
    <w:p w:rsidR="003B0454" w:rsidRDefault="003B0454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Creación</w:t>
      </w:r>
      <w:r w:rsidR="00AA6A3F" w:rsidRPr="00AA6A3F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6D2E61">
        <w:rPr>
          <w:rFonts w:ascii="Arial Narrow" w:hAnsi="Arial Narrow"/>
          <w:b/>
          <w:caps/>
        </w:rPr>
        <w:t>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3B0454" w:rsidRPr="006D2E61" w:rsidTr="00AA6A3F">
        <w:tc>
          <w:tcPr>
            <w:tcW w:w="118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3B0454" w:rsidRPr="006D2E61" w:rsidTr="004208BF">
        <w:trPr>
          <w:trHeight w:val="774"/>
        </w:trPr>
        <w:tc>
          <w:tcPr>
            <w:tcW w:w="1188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 xml:space="preserve">Marzo </w:t>
            </w:r>
            <w:r w:rsidRPr="006D2E6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  <w:hideMark/>
          </w:tcPr>
          <w:p w:rsidR="00AA6A3F" w:rsidRDefault="003B0454" w:rsidP="00AA6A3F">
            <w:pPr>
              <w:rPr>
                <w:rFonts w:ascii="Arial Narrow" w:hAnsi="Arial Narrow"/>
              </w:rPr>
            </w:pPr>
            <w:r w:rsidRPr="006D2E61">
              <w:rPr>
                <w:rFonts w:ascii="Arial Narrow" w:hAnsi="Arial Narrow"/>
              </w:rPr>
              <w:t>Firma</w:t>
            </w:r>
            <w:r w:rsidR="00AA6A3F">
              <w:rPr>
                <w:rFonts w:ascii="Arial Narrow" w:hAnsi="Arial Narrow"/>
                <w:b/>
              </w:rPr>
              <w:t xml:space="preserve">:                 </w:t>
            </w:r>
            <w:r w:rsidR="00AA6A3F" w:rsidRPr="00D97EF0">
              <w:rPr>
                <w:rFonts w:ascii="Arial Narrow" w:hAnsi="Arial Narrow"/>
                <w:b/>
              </w:rPr>
              <w:t>DR. ERIC HAZIM</w:t>
            </w:r>
          </w:p>
          <w:p w:rsidR="003B0454" w:rsidRPr="006D2E61" w:rsidRDefault="00AA6A3F" w:rsidP="00AA6A3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3B0454" w:rsidRPr="006D2E61" w:rsidTr="004208BF">
        <w:trPr>
          <w:trHeight w:val="416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4860" w:type="dxa"/>
            <w:vAlign w:val="center"/>
            <w:hideMark/>
          </w:tcPr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Nombre</w:t>
            </w:r>
          </w:p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Cargo</w:t>
            </w:r>
          </w:p>
        </w:tc>
      </w:tr>
      <w:tr w:rsidR="003B0454" w:rsidRPr="006D2E61" w:rsidTr="00AA6A3F">
        <w:tc>
          <w:tcPr>
            <w:tcW w:w="9648" w:type="dxa"/>
            <w:gridSpan w:val="3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Referencia</w:t>
            </w:r>
            <w:r w:rsidR="00AA6A3F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3B0454" w:rsidRPr="006D2E61" w:rsidTr="004208BF">
        <w:trPr>
          <w:trHeight w:val="625"/>
        </w:trPr>
        <w:tc>
          <w:tcPr>
            <w:tcW w:w="9648" w:type="dxa"/>
            <w:gridSpan w:val="3"/>
            <w:vAlign w:val="center"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rPr>
          <w:rFonts w:ascii="Arial Narrow" w:hAnsi="Arial Narrow"/>
          <w:b/>
          <w:caps/>
          <w:lang w:val="es-MX" w:eastAsia="es-MX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CONTROL DE CAMBIOS: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3B0454" w:rsidRPr="006D2E61" w:rsidTr="00AA6A3F">
        <w:tc>
          <w:tcPr>
            <w:tcW w:w="64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3B0454" w:rsidRPr="006D2E61" w:rsidTr="004208BF">
        <w:trPr>
          <w:trHeight w:val="773"/>
        </w:trPr>
        <w:tc>
          <w:tcPr>
            <w:tcW w:w="648" w:type="dxa"/>
            <w:vMerge w:val="restart"/>
            <w:vAlign w:val="center"/>
          </w:tcPr>
          <w:p w:rsidR="003B0454" w:rsidRPr="006D2E61" w:rsidRDefault="004F586F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>
              <w:rPr>
                <w:rFonts w:ascii="Arial Narrow" w:hAnsi="Arial Narrow"/>
                <w:b/>
                <w:lang w:val="es-MX" w:eastAsia="es-MX"/>
              </w:rPr>
              <w:t>1</w:t>
            </w:r>
          </w:p>
        </w:tc>
        <w:tc>
          <w:tcPr>
            <w:tcW w:w="1440" w:type="dxa"/>
            <w:vMerge w:val="restart"/>
          </w:tcPr>
          <w:p w:rsidR="003B0454" w:rsidRDefault="003B0454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3/10/2012</w:t>
            </w:r>
          </w:p>
          <w:p w:rsidR="004F586F" w:rsidRPr="006D2E61" w:rsidRDefault="004F586F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Realizada por:</w:t>
            </w:r>
          </w:p>
          <w:p w:rsidR="003B0454" w:rsidRPr="006D2E61" w:rsidRDefault="003B0454">
            <w:pPr>
              <w:rPr>
                <w:rFonts w:ascii="Arial Narrow" w:hAnsi="Arial Narrow"/>
                <w:b/>
              </w:rPr>
            </w:pPr>
          </w:p>
          <w:p w:rsidR="003B0454" w:rsidRPr="006D2E61" w:rsidRDefault="004F586F">
            <w:pPr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3B0454" w:rsidRPr="006D2E61" w:rsidRDefault="004F586F" w:rsidP="004F586F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Adaptado a las nuevas disposiciones contenidos en el Reglamento de aplicación aprobado mediante Decreto No. 543-12</w:t>
            </w:r>
          </w:p>
        </w:tc>
      </w:tr>
      <w:tr w:rsidR="003B0454" w:rsidRPr="006D2E61" w:rsidTr="004208BF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Aprobada por:</w:t>
            </w:r>
          </w:p>
          <w:p w:rsidR="003B0454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Guzmán S.</w:t>
            </w:r>
          </w:p>
          <w:p w:rsidR="004F586F" w:rsidRPr="004F586F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Contrataciones Públicas.</w:t>
            </w:r>
          </w:p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pBdr>
          <w:bottom w:val="single" w:sz="4" w:space="1" w:color="auto"/>
        </w:pBdr>
        <w:rPr>
          <w:rFonts w:ascii="Arial Narrow" w:hAnsi="Arial Narrow"/>
          <w:i/>
          <w:lang w:val="es-MX" w:eastAsia="es-MX"/>
        </w:rPr>
      </w:pPr>
      <w:r w:rsidRPr="006D2E61">
        <w:rPr>
          <w:rFonts w:ascii="Arial Narrow" w:hAnsi="Arial Narrow"/>
          <w:i/>
        </w:rPr>
        <w:t>No hay nada escrito después de esta línea</w:t>
      </w:r>
    </w:p>
    <w:p w:rsidR="003B0454" w:rsidRPr="006D2E61" w:rsidRDefault="003B0454" w:rsidP="004208BF">
      <w:pPr>
        <w:rPr>
          <w:rFonts w:ascii="Arial Narrow" w:hAnsi="Arial Narrow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7A2589">
      <w:pPr>
        <w:jc w:val="both"/>
        <w:rPr>
          <w:rFonts w:ascii="Arial Narrow" w:hAnsi="Arial Narrow"/>
        </w:rPr>
      </w:pPr>
    </w:p>
    <w:sectPr w:rsidR="003B0454" w:rsidRPr="006D2E61" w:rsidSect="006D2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F2" w:rsidRDefault="00932FF2">
      <w:r>
        <w:separator/>
      </w:r>
    </w:p>
  </w:endnote>
  <w:endnote w:type="continuationSeparator" w:id="0">
    <w:p w:rsidR="00932FF2" w:rsidRDefault="0093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047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F2" w:rsidRDefault="00932FF2">
      <w:r>
        <w:separator/>
      </w:r>
    </w:p>
  </w:footnote>
  <w:footnote w:type="continuationSeparator" w:id="0">
    <w:p w:rsidR="00932FF2" w:rsidRDefault="00932FF2">
      <w:r>
        <w:continuationSeparator/>
      </w:r>
    </w:p>
  </w:footnote>
  <w:footnote w:id="1">
    <w:p w:rsidR="00AA6A3F" w:rsidRPr="00AA6A3F" w:rsidRDefault="00AA6A3F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Pr="007648AC" w:rsidRDefault="00562537" w:rsidP="006D2E61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0454"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="003B0454"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3B0454">
      <w:rPr>
        <w:rFonts w:ascii="Arial Narrow" w:hAnsi="Arial Narrow" w:cs="Arial"/>
        <w:b/>
        <w:sz w:val="20"/>
        <w:szCs w:val="20"/>
      </w:rPr>
      <w:t xml:space="preserve"> </w:t>
    </w:r>
    <w:r w:rsidR="003B0454" w:rsidRPr="007648AC">
      <w:rPr>
        <w:rFonts w:ascii="Arial Narrow" w:hAnsi="Arial Narrow" w:cs="Arial"/>
        <w:b/>
        <w:sz w:val="20"/>
        <w:szCs w:val="20"/>
      </w:rPr>
      <w:t xml:space="preserve"> </w:t>
    </w:r>
  </w:p>
  <w:p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 w15:restartNumberingAfterBreak="0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 w15:restartNumberingAfterBreak="0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 w15:restartNumberingAfterBreak="0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 w15:restartNumberingAfterBreak="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 w15:restartNumberingAfterBreak="0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 w15:restartNumberingAfterBreak="0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 w15:restartNumberingAfterBreak="0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 w15:restartNumberingAfterBreak="0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 w15:restartNumberingAfterBreak="0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 w15:restartNumberingAfterBreak="0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 w15:restartNumberingAfterBreak="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 w15:restartNumberingAfterBreak="0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 w15:restartNumberingAfterBreak="0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 w15:restartNumberingAfterBreak="0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 w15:restartNumberingAfterBreak="0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 w15:restartNumberingAfterBreak="0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37"/>
  </w:num>
  <w:num w:numId="7">
    <w:abstractNumId w:val="16"/>
  </w:num>
  <w:num w:numId="8">
    <w:abstractNumId w:val="33"/>
  </w:num>
  <w:num w:numId="9">
    <w:abstractNumId w:val="29"/>
  </w:num>
  <w:num w:numId="10">
    <w:abstractNumId w:val="20"/>
  </w:num>
  <w:num w:numId="11">
    <w:abstractNumId w:val="0"/>
  </w:num>
  <w:num w:numId="12">
    <w:abstractNumId w:val="38"/>
  </w:num>
  <w:num w:numId="13">
    <w:abstractNumId w:val="34"/>
  </w:num>
  <w:num w:numId="14">
    <w:abstractNumId w:val="9"/>
  </w:num>
  <w:num w:numId="15">
    <w:abstractNumId w:val="27"/>
  </w:num>
  <w:num w:numId="16">
    <w:abstractNumId w:val="6"/>
  </w:num>
  <w:num w:numId="17">
    <w:abstractNumId w:val="23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30"/>
  </w:num>
  <w:num w:numId="23">
    <w:abstractNumId w:val="40"/>
  </w:num>
  <w:num w:numId="24">
    <w:abstractNumId w:val="1"/>
  </w:num>
  <w:num w:numId="25">
    <w:abstractNumId w:val="2"/>
  </w:num>
  <w:num w:numId="26">
    <w:abstractNumId w:val="31"/>
  </w:num>
  <w:num w:numId="27">
    <w:abstractNumId w:val="28"/>
  </w:num>
  <w:num w:numId="28">
    <w:abstractNumId w:val="11"/>
  </w:num>
  <w:num w:numId="29">
    <w:abstractNumId w:val="12"/>
  </w:num>
  <w:num w:numId="30">
    <w:abstractNumId w:val="32"/>
  </w:num>
  <w:num w:numId="31">
    <w:abstractNumId w:val="25"/>
  </w:num>
  <w:num w:numId="32">
    <w:abstractNumId w:val="17"/>
  </w:num>
  <w:num w:numId="33">
    <w:abstractNumId w:val="35"/>
  </w:num>
  <w:num w:numId="34">
    <w:abstractNumId w:val="24"/>
  </w:num>
  <w:num w:numId="35">
    <w:abstractNumId w:val="26"/>
  </w:num>
  <w:num w:numId="36">
    <w:abstractNumId w:val="4"/>
  </w:num>
  <w:num w:numId="37">
    <w:abstractNumId w:val="21"/>
  </w:num>
  <w:num w:numId="38">
    <w:abstractNumId w:val="39"/>
  </w:num>
  <w:num w:numId="39">
    <w:abstractNumId w:val="15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6B"/>
    <w:rsid w:val="0000073F"/>
    <w:rsid w:val="00051333"/>
    <w:rsid w:val="000710B3"/>
    <w:rsid w:val="0008694C"/>
    <w:rsid w:val="00092C78"/>
    <w:rsid w:val="000C60A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C32B6"/>
    <w:rsid w:val="002D457E"/>
    <w:rsid w:val="003119A4"/>
    <w:rsid w:val="00325613"/>
    <w:rsid w:val="0032636F"/>
    <w:rsid w:val="00336668"/>
    <w:rsid w:val="00344366"/>
    <w:rsid w:val="003B0454"/>
    <w:rsid w:val="003B5C57"/>
    <w:rsid w:val="003E02A1"/>
    <w:rsid w:val="0040169D"/>
    <w:rsid w:val="0041145D"/>
    <w:rsid w:val="004208BF"/>
    <w:rsid w:val="004400BF"/>
    <w:rsid w:val="0045360C"/>
    <w:rsid w:val="00466E8D"/>
    <w:rsid w:val="004769B2"/>
    <w:rsid w:val="00484A4E"/>
    <w:rsid w:val="004B005F"/>
    <w:rsid w:val="004D03FE"/>
    <w:rsid w:val="004F1AF0"/>
    <w:rsid w:val="004F586F"/>
    <w:rsid w:val="00534053"/>
    <w:rsid w:val="00560DBD"/>
    <w:rsid w:val="00562537"/>
    <w:rsid w:val="00566D9D"/>
    <w:rsid w:val="005B51EB"/>
    <w:rsid w:val="005C3EDD"/>
    <w:rsid w:val="005D51AB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7A23"/>
    <w:rsid w:val="007F391C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90B0D"/>
    <w:rsid w:val="009A22F7"/>
    <w:rsid w:val="009C2D5F"/>
    <w:rsid w:val="009C7CC2"/>
    <w:rsid w:val="009D1E95"/>
    <w:rsid w:val="009E4CE9"/>
    <w:rsid w:val="009E7B53"/>
    <w:rsid w:val="00A57291"/>
    <w:rsid w:val="00A7733B"/>
    <w:rsid w:val="00AA6A3F"/>
    <w:rsid w:val="00B0537C"/>
    <w:rsid w:val="00BB0883"/>
    <w:rsid w:val="00BB5933"/>
    <w:rsid w:val="00C112F0"/>
    <w:rsid w:val="00C36E4E"/>
    <w:rsid w:val="00C42D1E"/>
    <w:rsid w:val="00D56949"/>
    <w:rsid w:val="00D71FED"/>
    <w:rsid w:val="00DF10D4"/>
    <w:rsid w:val="00E22968"/>
    <w:rsid w:val="00E531D0"/>
    <w:rsid w:val="00E7028E"/>
    <w:rsid w:val="00E96734"/>
    <w:rsid w:val="00EC3140"/>
    <w:rsid w:val="00EE500B"/>
    <w:rsid w:val="00F30472"/>
    <w:rsid w:val="00F4175B"/>
    <w:rsid w:val="00F5576B"/>
    <w:rsid w:val="00F642E3"/>
    <w:rsid w:val="00F81767"/>
    <w:rsid w:val="00F85ADB"/>
    <w:rsid w:val="00F97EF0"/>
    <w:rsid w:val="00FB22FA"/>
    <w:rsid w:val="00FD4B8C"/>
    <w:rsid w:val="00FD5E4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;"/>
  <w15:docId w15:val="{F7D6CA20-35A9-4CE3-BE90-073E924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B19F-2FD6-44A0-A8EC-82DFF3B9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4474</Words>
  <Characters>24612</Characters>
  <Application>Microsoft Office Word</Application>
  <DocSecurity>0</DocSecurity>
  <Lines>205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SERVICIOS</vt:lpstr>
      <vt:lpstr>CONTRATO DE SERVICIOS</vt:lpstr>
    </vt:vector>
  </TitlesOfParts>
  <Company/>
  <LinksUpToDate>false</LinksUpToDate>
  <CharactersWithSpaces>29028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Cecilia Guzman</cp:lastModifiedBy>
  <cp:revision>2</cp:revision>
  <dcterms:created xsi:type="dcterms:W3CDTF">2025-06-10T19:25:00Z</dcterms:created>
  <dcterms:modified xsi:type="dcterms:W3CDTF">2025-06-10T19:25:00Z</dcterms:modified>
</cp:coreProperties>
</file>